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7C7ABF86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A549AD" w:rsidRPr="00A549AD">
        <w:rPr>
          <w:rFonts w:ascii="Times New Roman" w:hAnsi="Times New Roman" w:cs="Times New Roman"/>
          <w:b/>
          <w:sz w:val="24"/>
          <w:szCs w:val="24"/>
        </w:rPr>
        <w:t>Przepisy prawa – oręż do walki czy narzędzie pomocne rodzinie w sytuacji jej rozpadu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72578E" w14:textId="77777777" w:rsid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BC835" w14:textId="77777777" w:rsidR="00A549AD" w:rsidRPr="00A549AD" w:rsidRDefault="00A549AD" w:rsidP="00A549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9AD">
        <w:rPr>
          <w:rFonts w:ascii="Times New Roman" w:hAnsi="Times New Roman" w:cs="Times New Roman"/>
          <w:sz w:val="24"/>
          <w:szCs w:val="24"/>
        </w:rPr>
        <w:t xml:space="preserve">Warsztat jest uzupełnieniem wykładu pt. „Rozpad rodziny – znaczenie wspólnych ustaleń stron dla rozstrzygnięć sądowych” pokazującym, jak w praktyce korzystać można </w:t>
      </w:r>
      <w:r w:rsidRPr="00A549AD">
        <w:rPr>
          <w:rFonts w:ascii="Times New Roman" w:hAnsi="Times New Roman" w:cs="Times New Roman"/>
          <w:sz w:val="24"/>
          <w:szCs w:val="24"/>
        </w:rPr>
        <w:br/>
        <w:t xml:space="preserve">z przepisów regulujących funkcjonowanie rodziny, także w przypadku jej rozpadu. </w:t>
      </w:r>
    </w:p>
    <w:p w14:paraId="7F4A5D0D" w14:textId="7ECC6DEB" w:rsidR="00FA605C" w:rsidRPr="00A549AD" w:rsidRDefault="00A549AD" w:rsidP="00A549AD">
      <w:pPr>
        <w:rPr>
          <w:rFonts w:ascii="Times New Roman" w:hAnsi="Times New Roman" w:cs="Times New Roman"/>
        </w:rPr>
      </w:pPr>
      <w:r w:rsidRPr="00A549AD">
        <w:rPr>
          <w:rFonts w:ascii="Times New Roman" w:hAnsi="Times New Roman" w:cs="Times New Roman"/>
          <w:sz w:val="24"/>
          <w:szCs w:val="24"/>
        </w:rPr>
        <w:t>Sytuacja kryzysowa w rodzinie, wraz z jej najbardziej drastyczną formą – ostatecznym rozpadem rodziny, powoduje niezwykle trudną, nową dla wszystkich jej członków sytuację faktyczną i prawną. Pojawia się cały szereg pytań i wątpliwości: „Jak najkorzystniej przeprowadzić rozwód? Z kim zamieszkają dzieci? Jak będzie wyglądała opieka nad nimi? Kto komu i w jakiej wysokości będzie płacił alimenty? Kto pozostanie we wspólnym dotąd mieszkaniu? Jak podzielić majątek?” W trakcie warsztatu skupimy się na tym, jak mądrze korzystać z przepisów prawa regulujących te i inne zagadnienia. Na bazie wiedzy wyniesionej z wykładu, a także doświadczeń uczestników warsztatu zastanowimy się wspólnie, czy istniejące regulacje prawne zawsze muszą być narzędziem do walki w sądzie, czy też można wykorzystać je w taki sposób, aby były pomocne bliskim sobie dotąd ludziom w trudnej dla nich sytuacji rozpadu rodziny? Czy jeszcze bardziej antagonizują i dzielą, czy też mogą być pomocne w ocaleniu tego, co jeszcze jest możliwe do ocalenia? Czy muszą być przeszkodą, czy też mogą być pomocne w osiągnięciu porozumienia?</w:t>
      </w:r>
    </w:p>
    <w:sectPr w:rsidR="00FA605C" w:rsidRPr="00A5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549AD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2024-08-29T10:25:00Z</dcterms:created>
  <dcterms:modified xsi:type="dcterms:W3CDTF">2024-08-29T10:25:00Z</dcterms:modified>
</cp:coreProperties>
</file>