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BC04E" w14:textId="77777777" w:rsidR="00BD5F84" w:rsidRPr="00D732A0" w:rsidRDefault="00BD5F84" w:rsidP="00BD5F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732A0">
        <w:rPr>
          <w:rFonts w:ascii="Times New Roman" w:hAnsi="Times New Roman" w:cs="Times New Roman"/>
          <w:b/>
          <w:sz w:val="24"/>
          <w:szCs w:val="24"/>
        </w:rPr>
        <w:t>dr Magdalena Błażek</w:t>
      </w:r>
      <w:r w:rsidRPr="00D732A0">
        <w:rPr>
          <w:rFonts w:ascii="Times New Roman" w:hAnsi="Times New Roman" w:cs="Times New Roman"/>
          <w:b/>
          <w:sz w:val="24"/>
          <w:szCs w:val="24"/>
        </w:rPr>
        <w:br/>
        <w:t>dr Aleksandra Lewandowska – Walter</w:t>
      </w:r>
    </w:p>
    <w:p w14:paraId="1E2D3426" w14:textId="77777777" w:rsidR="00BD5F84" w:rsidRPr="00D732A0" w:rsidRDefault="00BD5F84" w:rsidP="00BD5F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32A0">
        <w:rPr>
          <w:rFonts w:ascii="Times New Roman" w:hAnsi="Times New Roman" w:cs="Times New Roman"/>
          <w:sz w:val="24"/>
          <w:szCs w:val="24"/>
        </w:rPr>
        <w:t xml:space="preserve">Warsztat: </w:t>
      </w:r>
      <w:r w:rsidRPr="00D732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Seksualność i </w:t>
      </w:r>
      <w:proofErr w:type="spellStart"/>
      <w:r w:rsidRPr="00D732A0">
        <w:rPr>
          <w:rFonts w:ascii="Times New Roman" w:hAnsi="Times New Roman" w:cs="Times New Roman"/>
          <w:b/>
          <w:color w:val="000000"/>
          <w:sz w:val="24"/>
          <w:szCs w:val="24"/>
        </w:rPr>
        <w:t>seksualizacja</w:t>
      </w:r>
      <w:proofErr w:type="spellEnd"/>
      <w:r w:rsidRPr="00D732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 kontekście dynamiki relacji rodzinnych.</w:t>
      </w:r>
    </w:p>
    <w:p w14:paraId="4736580B" w14:textId="77777777" w:rsidR="00BD5F84" w:rsidRPr="00D732A0" w:rsidRDefault="00BD5F84" w:rsidP="00BD5F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2A0">
        <w:rPr>
          <w:rFonts w:ascii="Times New Roman" w:hAnsi="Times New Roman" w:cs="Times New Roman"/>
          <w:sz w:val="24"/>
          <w:szCs w:val="24"/>
        </w:rPr>
        <w:t xml:space="preserve">Według Powszechnej Deklaracji Praw Seksualnych (2002) seksualność to „integralna część osobowości, której rozwój zależy od zaspokojenia podstawowych potrzeb ludzkich, takich jak pragnienie kontaktu, intymności, ekspresji uczuć, przyjemności, czułości i miłości. Seksualność kształtuje się w wyniku wzajemnych relacji między osobą a strukturami społecznymi. Pełny rozwój seksualności ma zasadnicze znaczenie dla indywidualnego, międzyludzkiego i społecznego dobra”. Zdrowa seksualność jest ważnym elementem zdrowia fizycznego i psychicznego sprzyjającym intymności i tworzeniu trwałych więzi. </w:t>
      </w:r>
    </w:p>
    <w:p w14:paraId="0ADC675B" w14:textId="77777777" w:rsidR="00BD5F84" w:rsidRPr="00D732A0" w:rsidRDefault="00BD5F84" w:rsidP="00BD5F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2A0">
        <w:rPr>
          <w:rFonts w:ascii="Times New Roman" w:hAnsi="Times New Roman" w:cs="Times New Roman"/>
          <w:sz w:val="24"/>
          <w:szCs w:val="24"/>
        </w:rPr>
        <w:t>Seksualizacja</w:t>
      </w:r>
      <w:proofErr w:type="spellEnd"/>
      <w:r w:rsidRPr="00D732A0">
        <w:rPr>
          <w:rFonts w:ascii="Times New Roman" w:hAnsi="Times New Roman" w:cs="Times New Roman"/>
          <w:sz w:val="24"/>
          <w:szCs w:val="24"/>
        </w:rPr>
        <w:t xml:space="preserve"> sprzyja natomiast nadmiernej koncentracji na wyglądzie i atrakcyjności seksualnej oraz wykorzystywaniu własnej seksualności w relacjach w celu osiągania korzyści </w:t>
      </w:r>
      <w:r w:rsidRPr="00D732A0">
        <w:rPr>
          <w:rFonts w:ascii="Times New Roman" w:hAnsi="Times New Roman" w:cs="Times New Roman"/>
          <w:sz w:val="24"/>
          <w:szCs w:val="24"/>
        </w:rPr>
        <w:br/>
        <w:t xml:space="preserve">i manipulowania otoczeniem. </w:t>
      </w:r>
      <w:proofErr w:type="spellStart"/>
      <w:r w:rsidRPr="00D732A0">
        <w:rPr>
          <w:rFonts w:ascii="Times New Roman" w:hAnsi="Times New Roman" w:cs="Times New Roman"/>
          <w:sz w:val="24"/>
          <w:szCs w:val="24"/>
        </w:rPr>
        <w:t>Sexuality</w:t>
      </w:r>
      <w:proofErr w:type="spellEnd"/>
      <w:r w:rsidRPr="00D732A0">
        <w:rPr>
          <w:rFonts w:ascii="Times New Roman" w:hAnsi="Times New Roman" w:cs="Times New Roman"/>
          <w:sz w:val="24"/>
          <w:szCs w:val="24"/>
        </w:rPr>
        <w:t xml:space="preserve"> Information and </w:t>
      </w:r>
      <w:proofErr w:type="spellStart"/>
      <w:r w:rsidRPr="00D732A0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D73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2A0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Pr="00D732A0">
        <w:rPr>
          <w:rFonts w:ascii="Times New Roman" w:hAnsi="Times New Roman" w:cs="Times New Roman"/>
          <w:sz w:val="24"/>
          <w:szCs w:val="24"/>
        </w:rPr>
        <w:t xml:space="preserve"> of the United </w:t>
      </w:r>
      <w:proofErr w:type="spellStart"/>
      <w:r w:rsidRPr="00D732A0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D732A0">
        <w:rPr>
          <w:rFonts w:ascii="Times New Roman" w:hAnsi="Times New Roman" w:cs="Times New Roman"/>
          <w:sz w:val="24"/>
          <w:szCs w:val="24"/>
        </w:rPr>
        <w:t xml:space="preserve"> (2002) ujmuje </w:t>
      </w:r>
      <w:proofErr w:type="spellStart"/>
      <w:r w:rsidRPr="00D732A0">
        <w:rPr>
          <w:rFonts w:ascii="Times New Roman" w:hAnsi="Times New Roman" w:cs="Times New Roman"/>
          <w:sz w:val="24"/>
          <w:szCs w:val="24"/>
        </w:rPr>
        <w:t>seksualizację</w:t>
      </w:r>
      <w:proofErr w:type="spellEnd"/>
      <w:r w:rsidRPr="00D732A0">
        <w:rPr>
          <w:rFonts w:ascii="Times New Roman" w:hAnsi="Times New Roman" w:cs="Times New Roman"/>
          <w:sz w:val="24"/>
          <w:szCs w:val="24"/>
        </w:rPr>
        <w:t xml:space="preserve"> jako zjawisko, w ramach którego wartość człowieka pochodzi jedynie z seksualnego aspektu jego funkcjonowania, a standardem społecznym jest znak równości między atrakcyjnością a seksualnością. Jednostki są wówczas traktowane jako obiekty seksualne, których inni mogą używać, a nie jak osoby zdolne do samodzielnego sterowania swoim zachowaniem. Znaczenie atrakcyjności seksualnej jest wyolbrzymiane </w:t>
      </w:r>
      <w:r w:rsidRPr="00D732A0">
        <w:rPr>
          <w:rFonts w:ascii="Times New Roman" w:hAnsi="Times New Roman" w:cs="Times New Roman"/>
          <w:sz w:val="24"/>
          <w:szCs w:val="24"/>
        </w:rPr>
        <w:br/>
        <w:t xml:space="preserve">i promowane oraz narzucane innym jako sposób rozwoju osobowości (szczególne znaczenie ma taka promocja w rozwoju dzieci). </w:t>
      </w:r>
    </w:p>
    <w:p w14:paraId="4475BADE" w14:textId="0CFF9ACD" w:rsidR="00BD5F84" w:rsidRPr="00D732A0" w:rsidRDefault="00BD5F84" w:rsidP="00BD5F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2A0">
        <w:rPr>
          <w:rFonts w:ascii="Times New Roman" w:hAnsi="Times New Roman" w:cs="Times New Roman"/>
          <w:sz w:val="24"/>
          <w:szCs w:val="24"/>
        </w:rPr>
        <w:t xml:space="preserve">Analizując przyczyny </w:t>
      </w:r>
      <w:proofErr w:type="spellStart"/>
      <w:r w:rsidRPr="00D732A0">
        <w:rPr>
          <w:rFonts w:ascii="Times New Roman" w:hAnsi="Times New Roman" w:cs="Times New Roman"/>
          <w:sz w:val="24"/>
          <w:szCs w:val="24"/>
        </w:rPr>
        <w:t>seksualizacji</w:t>
      </w:r>
      <w:proofErr w:type="spellEnd"/>
      <w:r w:rsidRPr="00D73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2A0">
        <w:rPr>
          <w:rFonts w:ascii="Times New Roman" w:hAnsi="Times New Roman" w:cs="Times New Roman"/>
          <w:sz w:val="24"/>
          <w:szCs w:val="24"/>
        </w:rPr>
        <w:t>Sajkowska</w:t>
      </w:r>
      <w:proofErr w:type="spellEnd"/>
      <w:r w:rsidRPr="00D732A0">
        <w:rPr>
          <w:rFonts w:ascii="Times New Roman" w:hAnsi="Times New Roman" w:cs="Times New Roman"/>
          <w:sz w:val="24"/>
          <w:szCs w:val="24"/>
        </w:rPr>
        <w:t xml:space="preserve"> (2004) wskazuje na następujące czynniki: </w:t>
      </w:r>
      <w:r w:rsidRPr="00D732A0">
        <w:rPr>
          <w:rFonts w:ascii="Times New Roman" w:hAnsi="Times New Roman" w:cs="Times New Roman"/>
          <w:sz w:val="24"/>
          <w:szCs w:val="24"/>
        </w:rPr>
        <w:br/>
        <w:t xml:space="preserve">1) </w:t>
      </w:r>
      <w:proofErr w:type="spellStart"/>
      <w:r w:rsidRPr="00D732A0">
        <w:rPr>
          <w:rFonts w:ascii="Times New Roman" w:hAnsi="Times New Roman" w:cs="Times New Roman"/>
          <w:sz w:val="24"/>
          <w:szCs w:val="24"/>
        </w:rPr>
        <w:t>seksualizację</w:t>
      </w:r>
      <w:proofErr w:type="spellEnd"/>
      <w:r w:rsidRPr="00D732A0">
        <w:rPr>
          <w:rFonts w:ascii="Times New Roman" w:hAnsi="Times New Roman" w:cs="Times New Roman"/>
          <w:sz w:val="24"/>
          <w:szCs w:val="24"/>
        </w:rPr>
        <w:t xml:space="preserve"> kultury masowej, która poprzez koncentrację na cielesności i seksualności wyolbrzymia znaczenie urody i atrakcyjności seksualnej w stosunku do innych atrybutów człowieka, 2) wykorzystywanie przez media i handel elementów seksualnych w celu promowania swoich produktów (nagość, zabawki, konkursy piękności dla małych dziewczynek itp.). Mnogość treści seksualnych prowadzi do znieczulenia społecznego </w:t>
      </w:r>
      <w:r w:rsidRPr="00D732A0">
        <w:rPr>
          <w:rFonts w:ascii="Times New Roman" w:hAnsi="Times New Roman" w:cs="Times New Roman"/>
          <w:sz w:val="24"/>
          <w:szCs w:val="24"/>
        </w:rPr>
        <w:br/>
        <w:t xml:space="preserve">i przyczynia się do ich powszechnej akceptacji (MTV, czasopisma, elementy relacji seksualnych w bajkach, reklamy, w których głównie kobiety są przedstawiane jako obiekty seksualne, powszechna dostępność pornografii, blogi zawierające seksualną autoprezentację). </w:t>
      </w:r>
      <w:proofErr w:type="spellStart"/>
      <w:r w:rsidRPr="00D732A0">
        <w:rPr>
          <w:rFonts w:ascii="Times New Roman" w:hAnsi="Times New Roman" w:cs="Times New Roman"/>
          <w:sz w:val="24"/>
          <w:szCs w:val="24"/>
        </w:rPr>
        <w:t>Seksualizacji</w:t>
      </w:r>
      <w:proofErr w:type="spellEnd"/>
      <w:r w:rsidRPr="00D73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2A0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D732A0">
        <w:rPr>
          <w:rFonts w:ascii="Times New Roman" w:hAnsi="Times New Roman" w:cs="Times New Roman"/>
          <w:sz w:val="24"/>
          <w:szCs w:val="24"/>
        </w:rPr>
        <w:t xml:space="preserve">, głównie młodych kobiet, sprzyja także wychowywanie w rodzinie nacechowanej patologią (alkoholizm, przemoc, używanie narkotyków, zaburzenia psychiczne), co wiązać można ze stałym naruszaniem indywidualnych granic psychologicznych i fizycznych członków rodziny ale także granic podsystemów rodzinnych. Zmiennymi zapobiegającymi takiemu funkcjonowaniu okazały się być natomiast silne więzi uczuciowe, wsparcie ze strony </w:t>
      </w:r>
      <w:r w:rsidRPr="00D732A0">
        <w:rPr>
          <w:rFonts w:ascii="Times New Roman" w:hAnsi="Times New Roman" w:cs="Times New Roman"/>
          <w:sz w:val="24"/>
          <w:szCs w:val="24"/>
        </w:rPr>
        <w:lastRenderedPageBreak/>
        <w:t xml:space="preserve">rodziny, możliwość wyrażania własnych uczuć w rodzinie, jasny przekaz związany </w:t>
      </w:r>
      <w:r w:rsidR="00D732A0">
        <w:rPr>
          <w:rFonts w:ascii="Times New Roman" w:hAnsi="Times New Roman" w:cs="Times New Roman"/>
          <w:sz w:val="24"/>
          <w:szCs w:val="24"/>
        </w:rPr>
        <w:br/>
      </w:r>
      <w:r w:rsidRPr="00D732A0">
        <w:rPr>
          <w:rFonts w:ascii="Times New Roman" w:hAnsi="Times New Roman" w:cs="Times New Roman"/>
          <w:sz w:val="24"/>
          <w:szCs w:val="24"/>
        </w:rPr>
        <w:t>z oczekiwaniami wobec dziecka (</w:t>
      </w:r>
      <w:proofErr w:type="spellStart"/>
      <w:r w:rsidRPr="00D732A0">
        <w:rPr>
          <w:rFonts w:ascii="Times New Roman" w:hAnsi="Times New Roman" w:cs="Times New Roman"/>
          <w:sz w:val="24"/>
          <w:szCs w:val="24"/>
        </w:rPr>
        <w:t>Fleuridas</w:t>
      </w:r>
      <w:proofErr w:type="spellEnd"/>
      <w:r w:rsidRPr="00D732A0">
        <w:rPr>
          <w:rFonts w:ascii="Times New Roman" w:hAnsi="Times New Roman" w:cs="Times New Roman"/>
          <w:sz w:val="24"/>
          <w:szCs w:val="24"/>
        </w:rPr>
        <w:t xml:space="preserve"> i in., 1997).</w:t>
      </w:r>
    </w:p>
    <w:p w14:paraId="738EA1F3" w14:textId="39A8970E" w:rsidR="00BD5F84" w:rsidRPr="00D732A0" w:rsidRDefault="00BD5F84" w:rsidP="00BD5F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2A0">
        <w:rPr>
          <w:rFonts w:ascii="Times New Roman" w:hAnsi="Times New Roman" w:cs="Times New Roman"/>
          <w:sz w:val="24"/>
          <w:szCs w:val="24"/>
        </w:rPr>
        <w:t xml:space="preserve">Celem seminarium jest refleksja nad problemem </w:t>
      </w:r>
      <w:proofErr w:type="spellStart"/>
      <w:r w:rsidRPr="00D732A0">
        <w:rPr>
          <w:rFonts w:ascii="Times New Roman" w:hAnsi="Times New Roman" w:cs="Times New Roman"/>
          <w:sz w:val="24"/>
          <w:szCs w:val="24"/>
        </w:rPr>
        <w:t>seksualizacji</w:t>
      </w:r>
      <w:proofErr w:type="spellEnd"/>
      <w:r w:rsidRPr="00D732A0">
        <w:rPr>
          <w:rFonts w:ascii="Times New Roman" w:hAnsi="Times New Roman" w:cs="Times New Roman"/>
          <w:sz w:val="24"/>
          <w:szCs w:val="24"/>
        </w:rPr>
        <w:t xml:space="preserve"> dzieci we współczesnym świecie w kontekście teoretycznych modeli, jakimi są: teoria przywiązania oraz systemowa teoria rodziny. Zachowania seksualne, według modelu przywiązania są inicjowane przez wrodzony system, a różnice indywidualne w tym zakresie są przynajmniej częściowo wyrazem funkcjonowania tego systemu (</w:t>
      </w:r>
      <w:proofErr w:type="spellStart"/>
      <w:r w:rsidRPr="00D732A0">
        <w:rPr>
          <w:rFonts w:ascii="Times New Roman" w:hAnsi="Times New Roman" w:cs="Times New Roman"/>
          <w:sz w:val="24"/>
          <w:szCs w:val="24"/>
        </w:rPr>
        <w:t>Shaver</w:t>
      </w:r>
      <w:proofErr w:type="spellEnd"/>
      <w:r w:rsidRPr="00D732A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732A0">
        <w:rPr>
          <w:rFonts w:ascii="Times New Roman" w:hAnsi="Times New Roman" w:cs="Times New Roman"/>
          <w:sz w:val="24"/>
          <w:szCs w:val="24"/>
        </w:rPr>
        <w:t>Hazan</w:t>
      </w:r>
      <w:proofErr w:type="spellEnd"/>
      <w:r w:rsidRPr="00D732A0">
        <w:rPr>
          <w:rFonts w:ascii="Times New Roman" w:hAnsi="Times New Roman" w:cs="Times New Roman"/>
          <w:sz w:val="24"/>
          <w:szCs w:val="24"/>
        </w:rPr>
        <w:t xml:space="preserve">, 1988; </w:t>
      </w:r>
      <w:proofErr w:type="spellStart"/>
      <w:r w:rsidRPr="00D732A0">
        <w:rPr>
          <w:rFonts w:ascii="Times New Roman" w:hAnsi="Times New Roman" w:cs="Times New Roman"/>
          <w:sz w:val="24"/>
          <w:szCs w:val="24"/>
        </w:rPr>
        <w:t>Shaver</w:t>
      </w:r>
      <w:proofErr w:type="spellEnd"/>
      <w:r w:rsidRPr="00D732A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732A0">
        <w:rPr>
          <w:rFonts w:ascii="Times New Roman" w:hAnsi="Times New Roman" w:cs="Times New Roman"/>
          <w:sz w:val="24"/>
          <w:szCs w:val="24"/>
        </w:rPr>
        <w:t>Mikulincer</w:t>
      </w:r>
      <w:proofErr w:type="spellEnd"/>
      <w:r w:rsidRPr="00D732A0">
        <w:rPr>
          <w:rFonts w:ascii="Times New Roman" w:hAnsi="Times New Roman" w:cs="Times New Roman"/>
          <w:sz w:val="24"/>
          <w:szCs w:val="24"/>
        </w:rPr>
        <w:t xml:space="preserve">, 2006). Jednocześnie jednak na funkcjonowanie w sferze bliskich, intymnych i seksualnych relacji wpływ mają wzorce ukształtowane i transmitowane w rodzinie, w procesie modelowania, odzwierciedlania i regulowania zachowania. Jednym z czynników ważnych, na który zwracają uwagę twórcy modeli </w:t>
      </w:r>
      <w:proofErr w:type="spellStart"/>
      <w:r w:rsidRPr="00D732A0">
        <w:rPr>
          <w:rFonts w:ascii="Times New Roman" w:hAnsi="Times New Roman" w:cs="Times New Roman"/>
          <w:sz w:val="24"/>
          <w:szCs w:val="24"/>
        </w:rPr>
        <w:t>przywiązaniowych</w:t>
      </w:r>
      <w:proofErr w:type="spellEnd"/>
      <w:r w:rsidRPr="00D732A0">
        <w:rPr>
          <w:rFonts w:ascii="Times New Roman" w:hAnsi="Times New Roman" w:cs="Times New Roman"/>
          <w:sz w:val="24"/>
          <w:szCs w:val="24"/>
        </w:rPr>
        <w:t xml:space="preserve"> oraz systemowych jest problem granic w ramach rodziny, </w:t>
      </w:r>
      <w:r w:rsidR="00D732A0">
        <w:rPr>
          <w:rFonts w:ascii="Times New Roman" w:hAnsi="Times New Roman" w:cs="Times New Roman"/>
          <w:sz w:val="24"/>
          <w:szCs w:val="24"/>
        </w:rPr>
        <w:br/>
      </w:r>
      <w:r w:rsidRPr="00D732A0">
        <w:rPr>
          <w:rFonts w:ascii="Times New Roman" w:hAnsi="Times New Roman" w:cs="Times New Roman"/>
          <w:sz w:val="24"/>
          <w:szCs w:val="24"/>
        </w:rPr>
        <w:t xml:space="preserve">które w pewnych okolicznościach mogą być przesuwane uniemożliwiając ukształtowanie prawidłowej zdolności do ochrony własnych granic zarówno cielesnych, jak i emocjonalnych. </w:t>
      </w:r>
    </w:p>
    <w:p w14:paraId="41E7D62C" w14:textId="0D8C0CF6" w:rsidR="00BD5F84" w:rsidRPr="00D732A0" w:rsidRDefault="00BD5F84" w:rsidP="00BD5F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2A0">
        <w:rPr>
          <w:rFonts w:ascii="Times New Roman" w:hAnsi="Times New Roman" w:cs="Times New Roman"/>
          <w:sz w:val="24"/>
          <w:szCs w:val="24"/>
        </w:rPr>
        <w:t xml:space="preserve">Granice naruszane przyczyniają się natomiast do powstawania ryzyka pojawienia się kazirodztwa. Z perspektywy systemowego modelu rodziny nadużycie seksualne w okresie dzieciństwa i wczesnej młodości wywiera wpływ na dorosłe życie seksualne - problemy </w:t>
      </w:r>
      <w:r w:rsidRPr="00D732A0">
        <w:rPr>
          <w:rFonts w:ascii="Times New Roman" w:hAnsi="Times New Roman" w:cs="Times New Roman"/>
          <w:sz w:val="24"/>
          <w:szCs w:val="24"/>
        </w:rPr>
        <w:br/>
        <w:t>z pożądaniem, pobudzeniem i orgazmem (</w:t>
      </w:r>
      <w:proofErr w:type="spellStart"/>
      <w:r w:rsidRPr="00D732A0">
        <w:rPr>
          <w:rFonts w:ascii="Times New Roman" w:hAnsi="Times New Roman" w:cs="Times New Roman"/>
          <w:sz w:val="24"/>
          <w:szCs w:val="24"/>
        </w:rPr>
        <w:t>Loeb</w:t>
      </w:r>
      <w:proofErr w:type="spellEnd"/>
      <w:r w:rsidRPr="00D732A0">
        <w:rPr>
          <w:rFonts w:ascii="Times New Roman" w:hAnsi="Times New Roman" w:cs="Times New Roman"/>
          <w:sz w:val="24"/>
          <w:szCs w:val="24"/>
        </w:rPr>
        <w:t xml:space="preserve"> et al., 2002). Teorie systemowe zakładają, </w:t>
      </w:r>
      <w:r w:rsidRPr="00D732A0">
        <w:rPr>
          <w:rFonts w:ascii="Times New Roman" w:hAnsi="Times New Roman" w:cs="Times New Roman"/>
          <w:sz w:val="24"/>
          <w:szCs w:val="24"/>
        </w:rPr>
        <w:br/>
        <w:t xml:space="preserve">że sprawca czynu jest uczestnikiem pewnego systemu (w tym wypadku rodziny), który zawiera w sobie elementy prowadzące do podjęcia przez jednego z uczestników kazirodczych działań. Prawdopodobieństwo uruchomienia mechanizmów prowadzących do kazirodztwa tkwi </w:t>
      </w:r>
      <w:r w:rsidR="00D732A0">
        <w:rPr>
          <w:rFonts w:ascii="Times New Roman" w:hAnsi="Times New Roman" w:cs="Times New Roman"/>
          <w:sz w:val="24"/>
          <w:szCs w:val="24"/>
        </w:rPr>
        <w:br/>
      </w:r>
      <w:r w:rsidRPr="00D732A0">
        <w:rPr>
          <w:rFonts w:ascii="Times New Roman" w:hAnsi="Times New Roman" w:cs="Times New Roman"/>
          <w:sz w:val="24"/>
          <w:szCs w:val="24"/>
        </w:rPr>
        <w:t xml:space="preserve">w systemie od początku jego istnienia. Specyficzna relacja między jego członkami prowadzi do stworzenia warunków, by </w:t>
      </w:r>
      <w:proofErr w:type="spellStart"/>
      <w:r w:rsidRPr="00D732A0">
        <w:rPr>
          <w:rFonts w:ascii="Times New Roman" w:hAnsi="Times New Roman" w:cs="Times New Roman"/>
          <w:sz w:val="24"/>
          <w:szCs w:val="24"/>
        </w:rPr>
        <w:t>diada</w:t>
      </w:r>
      <w:proofErr w:type="spellEnd"/>
      <w:r w:rsidRPr="00D732A0">
        <w:rPr>
          <w:rFonts w:ascii="Times New Roman" w:hAnsi="Times New Roman" w:cs="Times New Roman"/>
          <w:sz w:val="24"/>
          <w:szCs w:val="24"/>
        </w:rPr>
        <w:t xml:space="preserve"> sprawca-dziecko mogła powstać, rozwijać się </w:t>
      </w:r>
      <w:r w:rsidRPr="00D732A0">
        <w:rPr>
          <w:rFonts w:ascii="Times New Roman" w:hAnsi="Times New Roman" w:cs="Times New Roman"/>
          <w:sz w:val="24"/>
          <w:szCs w:val="24"/>
        </w:rPr>
        <w:br/>
        <w:t xml:space="preserve">i pozostawać pod ochroną reszty członków rodziny. Specyficzną cechą rodziny kazirodczej </w:t>
      </w:r>
      <w:r w:rsidR="00D732A0">
        <w:rPr>
          <w:rFonts w:ascii="Times New Roman" w:hAnsi="Times New Roman" w:cs="Times New Roman"/>
          <w:sz w:val="24"/>
          <w:szCs w:val="24"/>
        </w:rPr>
        <w:br/>
      </w:r>
      <w:r w:rsidRPr="00D732A0">
        <w:rPr>
          <w:rFonts w:ascii="Times New Roman" w:hAnsi="Times New Roman" w:cs="Times New Roman"/>
          <w:sz w:val="24"/>
          <w:szCs w:val="24"/>
        </w:rPr>
        <w:t>jest przewaga reguł homeostatycznych nad regułami zmienności.</w:t>
      </w:r>
    </w:p>
    <w:p w14:paraId="7610293A" w14:textId="77777777" w:rsidR="00BD5F84" w:rsidRPr="00D732A0" w:rsidRDefault="00BD5F84" w:rsidP="00BD5F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2A0">
        <w:rPr>
          <w:rFonts w:ascii="Times New Roman" w:hAnsi="Times New Roman" w:cs="Times New Roman"/>
          <w:sz w:val="24"/>
          <w:szCs w:val="24"/>
        </w:rPr>
        <w:t xml:space="preserve">Badania nad procesem </w:t>
      </w:r>
      <w:proofErr w:type="spellStart"/>
      <w:r w:rsidRPr="00D732A0">
        <w:rPr>
          <w:rFonts w:ascii="Times New Roman" w:hAnsi="Times New Roman" w:cs="Times New Roman"/>
          <w:sz w:val="24"/>
          <w:szCs w:val="24"/>
        </w:rPr>
        <w:t>seksualizacji</w:t>
      </w:r>
      <w:proofErr w:type="spellEnd"/>
      <w:r w:rsidRPr="00D732A0">
        <w:rPr>
          <w:rFonts w:ascii="Times New Roman" w:hAnsi="Times New Roman" w:cs="Times New Roman"/>
          <w:sz w:val="24"/>
          <w:szCs w:val="24"/>
        </w:rPr>
        <w:t xml:space="preserve"> na tle nadużyć w okresie dzieciństwa i wczesnej młodości wskazują, iż związek taki istnieje i wynika z negatywnych zmian w obrazie własnej osoby (</w:t>
      </w:r>
      <w:proofErr w:type="spellStart"/>
      <w:r w:rsidRPr="00D732A0">
        <w:rPr>
          <w:rFonts w:ascii="Times New Roman" w:hAnsi="Times New Roman" w:cs="Times New Roman"/>
          <w:sz w:val="24"/>
          <w:szCs w:val="24"/>
        </w:rPr>
        <w:t>Putnam</w:t>
      </w:r>
      <w:proofErr w:type="spellEnd"/>
      <w:r w:rsidRPr="00D732A0">
        <w:rPr>
          <w:rFonts w:ascii="Times New Roman" w:hAnsi="Times New Roman" w:cs="Times New Roman"/>
          <w:sz w:val="24"/>
          <w:szCs w:val="24"/>
        </w:rPr>
        <w:t>, 1990). Trauma seksualna zaburza poczucie bezpieczeństwa, obraz siebie i innych (</w:t>
      </w:r>
      <w:proofErr w:type="spellStart"/>
      <w:r w:rsidRPr="00D732A0">
        <w:rPr>
          <w:rFonts w:ascii="Times New Roman" w:hAnsi="Times New Roman" w:cs="Times New Roman"/>
          <w:sz w:val="24"/>
          <w:szCs w:val="24"/>
        </w:rPr>
        <w:t>Dutton</w:t>
      </w:r>
      <w:proofErr w:type="spellEnd"/>
      <w:r w:rsidRPr="00D732A0">
        <w:rPr>
          <w:rFonts w:ascii="Times New Roman" w:hAnsi="Times New Roman" w:cs="Times New Roman"/>
          <w:sz w:val="24"/>
          <w:szCs w:val="24"/>
        </w:rPr>
        <w:t xml:space="preserve"> et al., 1994). Z perspektywy modelu przywiązania (</w:t>
      </w:r>
      <w:proofErr w:type="spellStart"/>
      <w:r w:rsidRPr="00D732A0">
        <w:rPr>
          <w:rFonts w:ascii="Times New Roman" w:hAnsi="Times New Roman" w:cs="Times New Roman"/>
          <w:sz w:val="24"/>
          <w:szCs w:val="24"/>
        </w:rPr>
        <w:t>Bowlby</w:t>
      </w:r>
      <w:proofErr w:type="spellEnd"/>
      <w:r w:rsidRPr="00D732A0">
        <w:rPr>
          <w:rFonts w:ascii="Times New Roman" w:hAnsi="Times New Roman" w:cs="Times New Roman"/>
          <w:sz w:val="24"/>
          <w:szCs w:val="24"/>
        </w:rPr>
        <w:t>, 1969, 1980) można zatem powiedzieć, że nadużycie o charakterze seksualnym wpływa negatywnie na poznawcze reprezentacje Ja oraz relacji Ja-inni. Anderson i Cyrankowski (1994) badając występowanie związku między nadużyciem a obrazem Ja z wykorzystaniem autorskiego narzędzia (</w:t>
      </w:r>
      <w:proofErr w:type="spellStart"/>
      <w:r w:rsidRPr="00D732A0">
        <w:rPr>
          <w:rFonts w:ascii="Times New Roman" w:hAnsi="Times New Roman" w:cs="Times New Roman"/>
          <w:sz w:val="24"/>
          <w:szCs w:val="24"/>
        </w:rPr>
        <w:t>Sexual</w:t>
      </w:r>
      <w:proofErr w:type="spellEnd"/>
      <w:r w:rsidRPr="00D73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2A0">
        <w:rPr>
          <w:rFonts w:ascii="Times New Roman" w:hAnsi="Times New Roman" w:cs="Times New Roman"/>
          <w:sz w:val="24"/>
          <w:szCs w:val="24"/>
        </w:rPr>
        <w:t>Self-Schema</w:t>
      </w:r>
      <w:proofErr w:type="spellEnd"/>
      <w:r w:rsidRPr="00D73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2A0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D732A0">
        <w:rPr>
          <w:rFonts w:ascii="Times New Roman" w:hAnsi="Times New Roman" w:cs="Times New Roman"/>
          <w:sz w:val="24"/>
          <w:szCs w:val="24"/>
        </w:rPr>
        <w:t xml:space="preserve">) stwierdziły, że kobiety różnią się od siebie na trzech wymiarach: romantyzm i pożądanie, otwartość, konserwatyzm (skłonność do zawstydzania się), </w:t>
      </w:r>
      <w:r w:rsidRPr="00D732A0">
        <w:rPr>
          <w:rFonts w:ascii="Times New Roman" w:hAnsi="Times New Roman" w:cs="Times New Roman"/>
          <w:sz w:val="24"/>
          <w:szCs w:val="24"/>
        </w:rPr>
        <w:br/>
        <w:t xml:space="preserve">a wczesne nadużycie seksualne (Andersen i </w:t>
      </w:r>
      <w:proofErr w:type="spellStart"/>
      <w:r w:rsidRPr="00D732A0">
        <w:rPr>
          <w:rFonts w:ascii="Times New Roman" w:hAnsi="Times New Roman" w:cs="Times New Roman"/>
          <w:sz w:val="24"/>
          <w:szCs w:val="24"/>
        </w:rPr>
        <w:t>Cyranowski</w:t>
      </w:r>
      <w:proofErr w:type="spellEnd"/>
      <w:r w:rsidRPr="00D732A0">
        <w:rPr>
          <w:rFonts w:ascii="Times New Roman" w:hAnsi="Times New Roman" w:cs="Times New Roman"/>
          <w:sz w:val="24"/>
          <w:szCs w:val="24"/>
        </w:rPr>
        <w:t xml:space="preserve">, 1998) wiąże się z posiadaniem wielu </w:t>
      </w:r>
      <w:r w:rsidRPr="00D732A0">
        <w:rPr>
          <w:rFonts w:ascii="Times New Roman" w:hAnsi="Times New Roman" w:cs="Times New Roman"/>
          <w:sz w:val="24"/>
          <w:szCs w:val="24"/>
        </w:rPr>
        <w:lastRenderedPageBreak/>
        <w:t xml:space="preserve">negatywnych seksualnych schematów Ja i małej ilości pozytywnych. Szczególnie negatywne są w tej grupie wyobrażenia związane z miłością fizyczną. Z kolei </w:t>
      </w:r>
      <w:proofErr w:type="spellStart"/>
      <w:r w:rsidRPr="00D732A0">
        <w:rPr>
          <w:rFonts w:ascii="Times New Roman" w:hAnsi="Times New Roman" w:cs="Times New Roman"/>
          <w:sz w:val="24"/>
          <w:szCs w:val="24"/>
        </w:rPr>
        <w:t>Meston</w:t>
      </w:r>
      <w:proofErr w:type="spellEnd"/>
      <w:r w:rsidRPr="00D732A0">
        <w:rPr>
          <w:rFonts w:ascii="Times New Roman" w:hAnsi="Times New Roman" w:cs="Times New Roman"/>
          <w:sz w:val="24"/>
          <w:szCs w:val="24"/>
        </w:rPr>
        <w:t xml:space="preserve"> i in. (2006) podkreślają, że kobiety po nadużyciu mają wyższy poziom negatywnych skojarzeń emocjonalnych związanych z seksem, szczególnie w obszarze zmiennej romantyzm.</w:t>
      </w:r>
    </w:p>
    <w:p w14:paraId="650A8EB4" w14:textId="77777777" w:rsidR="00BD5F84" w:rsidRPr="00D732A0" w:rsidRDefault="00BD5F84" w:rsidP="00BD5F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2A0">
        <w:rPr>
          <w:rFonts w:ascii="Times New Roman" w:hAnsi="Times New Roman" w:cs="Times New Roman"/>
          <w:sz w:val="24"/>
          <w:szCs w:val="24"/>
        </w:rPr>
        <w:t xml:space="preserve">Wśród konsekwencji </w:t>
      </w:r>
      <w:proofErr w:type="spellStart"/>
      <w:r w:rsidRPr="00D732A0">
        <w:rPr>
          <w:rFonts w:ascii="Times New Roman" w:hAnsi="Times New Roman" w:cs="Times New Roman"/>
          <w:sz w:val="24"/>
          <w:szCs w:val="24"/>
        </w:rPr>
        <w:t>seksualizacji</w:t>
      </w:r>
      <w:proofErr w:type="spellEnd"/>
      <w:r w:rsidRPr="00D73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2A0">
        <w:rPr>
          <w:rFonts w:ascii="Times New Roman" w:hAnsi="Times New Roman" w:cs="Times New Roman"/>
          <w:sz w:val="24"/>
          <w:szCs w:val="24"/>
        </w:rPr>
        <w:t>Fredrickson</w:t>
      </w:r>
      <w:proofErr w:type="spellEnd"/>
      <w:r w:rsidRPr="00D732A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732A0">
        <w:rPr>
          <w:rFonts w:ascii="Times New Roman" w:hAnsi="Times New Roman" w:cs="Times New Roman"/>
          <w:sz w:val="24"/>
          <w:szCs w:val="24"/>
        </w:rPr>
        <w:t>Roberts</w:t>
      </w:r>
      <w:proofErr w:type="spellEnd"/>
      <w:r w:rsidRPr="00D732A0">
        <w:rPr>
          <w:rFonts w:ascii="Times New Roman" w:hAnsi="Times New Roman" w:cs="Times New Roman"/>
          <w:sz w:val="24"/>
          <w:szCs w:val="24"/>
        </w:rPr>
        <w:t xml:space="preserve"> (1997) wskazują także na  </w:t>
      </w:r>
      <w:proofErr w:type="spellStart"/>
      <w:r w:rsidRPr="00D732A0">
        <w:rPr>
          <w:rFonts w:ascii="Times New Roman" w:hAnsi="Times New Roman" w:cs="Times New Roman"/>
          <w:sz w:val="24"/>
          <w:szCs w:val="24"/>
        </w:rPr>
        <w:t>samouprzedmiotowienie</w:t>
      </w:r>
      <w:proofErr w:type="spellEnd"/>
      <w:r w:rsidRPr="00D732A0">
        <w:rPr>
          <w:rFonts w:ascii="Times New Roman" w:hAnsi="Times New Roman" w:cs="Times New Roman"/>
          <w:sz w:val="24"/>
          <w:szCs w:val="24"/>
        </w:rPr>
        <w:t xml:space="preserve"> jako kluczowy proces, w którym dzieci (szczególnie dziewczęta) uczą się myśleć i traktować własne ciało jako obiekt pożądania przez innych. </w:t>
      </w:r>
      <w:proofErr w:type="spellStart"/>
      <w:r w:rsidRPr="00D732A0">
        <w:rPr>
          <w:rFonts w:ascii="Times New Roman" w:hAnsi="Times New Roman" w:cs="Times New Roman"/>
          <w:sz w:val="24"/>
          <w:szCs w:val="24"/>
        </w:rPr>
        <w:t>Slater</w:t>
      </w:r>
      <w:proofErr w:type="spellEnd"/>
      <w:r w:rsidRPr="00D732A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732A0">
        <w:rPr>
          <w:rFonts w:ascii="Times New Roman" w:hAnsi="Times New Roman" w:cs="Times New Roman"/>
          <w:sz w:val="24"/>
          <w:szCs w:val="24"/>
        </w:rPr>
        <w:t>Tiggermann</w:t>
      </w:r>
      <w:proofErr w:type="spellEnd"/>
      <w:r w:rsidRPr="00D732A0">
        <w:rPr>
          <w:rFonts w:ascii="Times New Roman" w:hAnsi="Times New Roman" w:cs="Times New Roman"/>
          <w:sz w:val="24"/>
          <w:szCs w:val="24"/>
        </w:rPr>
        <w:t xml:space="preserve"> (2002) podkreślają także, że dziewczęta zwracające większą uwagę na wygląd swojego ciała niż na własne umiejętności, mogą nie tylko pośredniczyć we własnej </w:t>
      </w:r>
      <w:proofErr w:type="spellStart"/>
      <w:r w:rsidRPr="00D732A0">
        <w:rPr>
          <w:rFonts w:ascii="Times New Roman" w:hAnsi="Times New Roman" w:cs="Times New Roman"/>
          <w:sz w:val="24"/>
          <w:szCs w:val="24"/>
        </w:rPr>
        <w:t>seksualizacji</w:t>
      </w:r>
      <w:proofErr w:type="spellEnd"/>
      <w:r w:rsidRPr="00D732A0">
        <w:rPr>
          <w:rFonts w:ascii="Times New Roman" w:hAnsi="Times New Roman" w:cs="Times New Roman"/>
          <w:sz w:val="24"/>
          <w:szCs w:val="24"/>
        </w:rPr>
        <w:t xml:space="preserve">, ale także brać aktywny w niej udział. </w:t>
      </w:r>
      <w:proofErr w:type="spellStart"/>
      <w:r w:rsidRPr="00D732A0">
        <w:rPr>
          <w:rFonts w:ascii="Times New Roman" w:hAnsi="Times New Roman" w:cs="Times New Roman"/>
          <w:sz w:val="24"/>
          <w:szCs w:val="24"/>
        </w:rPr>
        <w:t>Tolman</w:t>
      </w:r>
      <w:proofErr w:type="spellEnd"/>
      <w:r w:rsidRPr="00D732A0">
        <w:rPr>
          <w:rFonts w:ascii="Times New Roman" w:hAnsi="Times New Roman" w:cs="Times New Roman"/>
          <w:sz w:val="24"/>
          <w:szCs w:val="24"/>
        </w:rPr>
        <w:t xml:space="preserve"> i in. (2006) podkreślają, że dziewczęta, które uprzedmiotowiały swoje ciało charakteryzowały się mniejszym poczuciem własnej wartości, </w:t>
      </w:r>
      <w:r w:rsidRPr="00D732A0">
        <w:rPr>
          <w:rFonts w:ascii="Times New Roman" w:hAnsi="Times New Roman" w:cs="Times New Roman"/>
          <w:sz w:val="24"/>
          <w:szCs w:val="24"/>
        </w:rPr>
        <w:br/>
        <w:t xml:space="preserve">a chroniczne zwracanie uwagi na wygląd fizyczny przysłania inne elementy związane </w:t>
      </w:r>
      <w:r w:rsidRPr="00D732A0">
        <w:rPr>
          <w:rFonts w:ascii="Times New Roman" w:hAnsi="Times New Roman" w:cs="Times New Roman"/>
          <w:sz w:val="24"/>
          <w:szCs w:val="24"/>
        </w:rPr>
        <w:br/>
        <w:t xml:space="preserve">z rozwojem intelektualnym i psychicznym, przyczyniając się do osłabienia zdolności poznawczych. </w:t>
      </w:r>
    </w:p>
    <w:p w14:paraId="6C8E37D3" w14:textId="0867BB2A" w:rsidR="00B96CEA" w:rsidRPr="00D732A0" w:rsidRDefault="00B96CEA" w:rsidP="003D68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96CEA" w:rsidRPr="00D73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54"/>
    <w:rsid w:val="00005B54"/>
    <w:rsid w:val="003D6846"/>
    <w:rsid w:val="005B714C"/>
    <w:rsid w:val="00A25F33"/>
    <w:rsid w:val="00B96CEA"/>
    <w:rsid w:val="00BD5F84"/>
    <w:rsid w:val="00D50A11"/>
    <w:rsid w:val="00D732A0"/>
    <w:rsid w:val="00F4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D080"/>
  <w15:chartTrackingRefBased/>
  <w15:docId w15:val="{427FFA4E-8E65-4370-ACDC-58313515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A1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4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5790</Characters>
  <Application>Microsoft Office Word</Application>
  <DocSecurity>0</DocSecurity>
  <Lines>48</Lines>
  <Paragraphs>13</Paragraphs>
  <ScaleCrop>false</ScaleCrop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gopp</dc:creator>
  <cp:keywords/>
  <dc:description/>
  <cp:lastModifiedBy>Arkadiusz Jowsa</cp:lastModifiedBy>
  <cp:revision>3</cp:revision>
  <dcterms:created xsi:type="dcterms:W3CDTF">2024-03-07T11:25:00Z</dcterms:created>
  <dcterms:modified xsi:type="dcterms:W3CDTF">2024-09-16T18:13:00Z</dcterms:modified>
</cp:coreProperties>
</file>