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29C1F059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96EAD">
        <w:rPr>
          <w:rFonts w:ascii="Times New Roman" w:hAnsi="Times New Roman" w:cs="Times New Roman"/>
          <w:b/>
          <w:bCs/>
          <w:sz w:val="24"/>
          <w:szCs w:val="24"/>
        </w:rPr>
        <w:t>Młodzieńczy narcyzm jest dobry, czy zły?”</w:t>
      </w:r>
    </w:p>
    <w:p w14:paraId="5ACDF074" w14:textId="158D0D2C" w:rsidR="00596EAD" w:rsidRDefault="00596EAD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Adolescencja stanowi psychiczny aspekt okresu życia między dzieciństwem i dorosłością czas zmian psychicznych i seksualnych.</w:t>
      </w:r>
    </w:p>
    <w:p w14:paraId="0EB21F05" w14:textId="23016622" w:rsidR="00596EAD" w:rsidRDefault="00596EAD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S. Freud pierwszy raz posłużył się pojęciem narcyzmu w „Trzech rozprawach z teorii seksualnej” w 1914 r., pierwotnie użył pojęcia w odniesieniu zarówno </w:t>
      </w:r>
      <w:r w:rsidR="005F21E6">
        <w:rPr>
          <w:rFonts w:ascii="Times New Roman" w:hAnsi="Times New Roman" w:cs="Times New Roman"/>
          <w:sz w:val="24"/>
          <w:szCs w:val="24"/>
        </w:rPr>
        <w:t xml:space="preserve">do psychopatologii psychoz jak i normalnych doświadczeń życia codziennego np. snu. Współczesne doświadczenia pracy z nie neurotycznymi i nie psychotycznymi pacjentami (być może chodzi o pacjentów </w:t>
      </w:r>
      <w:proofErr w:type="spellStart"/>
      <w:r w:rsidR="005F21E6">
        <w:rPr>
          <w:rFonts w:ascii="Times New Roman" w:hAnsi="Times New Roman" w:cs="Times New Roman"/>
          <w:sz w:val="24"/>
          <w:szCs w:val="24"/>
        </w:rPr>
        <w:t>borderline</w:t>
      </w:r>
      <w:proofErr w:type="spellEnd"/>
      <w:r w:rsidR="005F21E6">
        <w:rPr>
          <w:rFonts w:ascii="Times New Roman" w:hAnsi="Times New Roman" w:cs="Times New Roman"/>
          <w:sz w:val="24"/>
          <w:szCs w:val="24"/>
        </w:rPr>
        <w:t xml:space="preserve"> – przyp. tłum.) powoduje konieczność poszerzenia pojęcia narcyzmu, dodania kategorii narcyzmu destrukcyjnego do narcyzmu </w:t>
      </w:r>
      <w:proofErr w:type="spellStart"/>
      <w:r w:rsidR="005F21E6">
        <w:rPr>
          <w:rFonts w:ascii="Times New Roman" w:hAnsi="Times New Roman" w:cs="Times New Roman"/>
          <w:sz w:val="24"/>
          <w:szCs w:val="24"/>
        </w:rPr>
        <w:t>libidinalnego</w:t>
      </w:r>
      <w:proofErr w:type="spellEnd"/>
      <w:r w:rsidR="005F21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21E6">
        <w:rPr>
          <w:rFonts w:ascii="Times New Roman" w:hAnsi="Times New Roman" w:cs="Times New Roman"/>
          <w:sz w:val="24"/>
          <w:szCs w:val="24"/>
        </w:rPr>
        <w:t>A.Green</w:t>
      </w:r>
      <w:proofErr w:type="spellEnd"/>
      <w:r w:rsidR="005F21E6">
        <w:rPr>
          <w:rFonts w:ascii="Times New Roman" w:hAnsi="Times New Roman" w:cs="Times New Roman"/>
          <w:sz w:val="24"/>
          <w:szCs w:val="24"/>
        </w:rPr>
        <w:t>).</w:t>
      </w:r>
    </w:p>
    <w:p w14:paraId="368AC4E4" w14:textId="52B003A9" w:rsidR="005F21E6" w:rsidRDefault="005F21E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nowym francuskim przekładzie dzieł Freuda, trzeci z esejów nosi nazwę: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Metamorphozes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(przemiany dojrzewania). To zainspirowało mnie do przypomnienia mitu spisanego przez Owidiusza. Bohaterami opowieści są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Tyzbe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historii ich tragicznej miłości realia historyczne łączą się z mitem.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Braunschweig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Michel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Fain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(1971), zgadzając się z Freudem (1901) nazywają to zjawisko „zniekształconym rozpoznaniem”.</w:t>
      </w:r>
    </w:p>
    <w:p w14:paraId="3F19B750" w14:textId="2027FFA5" w:rsidR="005F21E6" w:rsidRDefault="005F21E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Chciałbym skoncentrować się na fragmencie „Przemian” Owidiusza w którym mowa o popełnionym z miłości samobójstwie dwójki młodych ludzi.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Tyzbe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planują ucieczkę z domu. Umawiają się na spotkanie za miastem przy nagrobku </w:t>
      </w:r>
      <w:proofErr w:type="spellStart"/>
      <w:r>
        <w:rPr>
          <w:rFonts w:ascii="Times New Roman" w:hAnsi="Times New Roman" w:cs="Times New Roman"/>
          <w:sz w:val="24"/>
          <w:szCs w:val="24"/>
        </w:rPr>
        <w:t>Ninusa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Tyzbe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przybywa tam pierwsza i ukrywa się za rosnącym nieopodal drzewem. Nagle w pobliżu pojawia się lwica. Ma zakrwawiony pysk, chwilę wcześniej upolowała kozła. </w:t>
      </w:r>
      <w:proofErr w:type="spellStart"/>
      <w:r>
        <w:rPr>
          <w:rFonts w:ascii="Times New Roman" w:hAnsi="Times New Roman" w:cs="Times New Roman"/>
          <w:sz w:val="24"/>
          <w:szCs w:val="24"/>
        </w:rPr>
        <w:t>Tyzbe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ucieka przed bestią i chowa się w szczelinie skalnej. Po drodze gubi nakrycie głowy, welon. Rozwścieczone zwierzę rozszarpuje zakrwawionym pyskiem delikatny materiał. Kiedy przybywa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widzi zniszczony welon, jest przekonany,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Tyzbe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została zabita przez lwicę. Zrozpaczony chłopak popełnia samobójstwo. </w:t>
      </w:r>
      <w:proofErr w:type="spellStart"/>
      <w:r>
        <w:rPr>
          <w:rFonts w:ascii="Times New Roman" w:hAnsi="Times New Roman" w:cs="Times New Roman"/>
          <w:sz w:val="24"/>
          <w:szCs w:val="24"/>
        </w:rPr>
        <w:t>Tyzbe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 ojców obojga, żeby pochowali ich razem, a potem przebija się mieczem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7EF42C" w14:textId="7AEA31AE" w:rsidR="005F21E6" w:rsidRDefault="005F21E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Historia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Tyzbe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stary babiloński mit, który inspirował różnych artystów, m.in. malarzy: Hansa Bandung, Albrechta Durer, Łukasza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Leonaert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(1596-1674) namalował sześć płócien przedstawiających rodziców młodej pary znajdujących ciała zjednoczonych w śmierci dzieci. Abraham </w:t>
      </w:r>
      <w:proofErr w:type="spellStart"/>
      <w:r>
        <w:rPr>
          <w:rFonts w:ascii="Times New Roman" w:hAnsi="Times New Roman" w:cs="Times New Roman"/>
          <w:sz w:val="24"/>
          <w:szCs w:val="24"/>
        </w:rPr>
        <w:t>Hondius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(1625-1647) namalował scenę rozgrywającą się wcześniej.</w:t>
      </w:r>
    </w:p>
    <w:p w14:paraId="39FAAD9A" w14:textId="327892A4" w:rsidR="005F21E6" w:rsidRDefault="005F21E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Poemat Owidiusza stał się szczególnie popularny w epoce renesansu. Zainspirowany nim francuski dramaturg </w:t>
      </w:r>
      <w:proofErr w:type="spellStart"/>
      <w:r>
        <w:rPr>
          <w:rFonts w:ascii="Times New Roman" w:hAnsi="Times New Roman" w:cs="Times New Roman"/>
          <w:sz w:val="24"/>
          <w:szCs w:val="24"/>
        </w:rPr>
        <w:t>Teophile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napisał sztukę, jednak najbardziej znanym przedstawieniem opartym na motywach babilońskiego mitu jest „Sen nocy letniej” Wiliama Szekspira. W utworze grupa wieśniaków przygotowuje przedstawienie z okazji zbliżającego się ślubu władcy Aten, Tezeusza.</w:t>
      </w:r>
    </w:p>
    <w:p w14:paraId="16023072" w14:textId="22E34DC2" w:rsidR="005F21E6" w:rsidRDefault="005F21E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Możemy rozumieć, że ten melancholijny utwór był bardzo popularny w okresie renesansu, w epoce otwartości kulturalnej tworzącej przestrzeń dla idei reformacji co ma o tyle znaczenie,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Teophile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Durer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byli protestantami a Owidiusz w poemacie zobrazował chaos od którego każdy z nas chce uciec. Można myśleć, że dosyć dobrze oddawał atmosferę tamtej epoki.</w:t>
      </w:r>
    </w:p>
    <w:p w14:paraId="54EF1CAC" w14:textId="5420DBF3" w:rsidR="005F21E6" w:rsidRDefault="005F21E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W adolescencji narcyzm można zobaczyć na dwóch poziomach. Po pierwsze jako część rozwoju popędów zarówno </w:t>
      </w:r>
      <w:proofErr w:type="spellStart"/>
      <w:r>
        <w:rPr>
          <w:rFonts w:ascii="Times New Roman" w:hAnsi="Times New Roman" w:cs="Times New Roman"/>
          <w:sz w:val="24"/>
          <w:szCs w:val="24"/>
        </w:rPr>
        <w:t>libidinalnych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i destruktywnych. Drugi poziom, to poziom strukturalny na którym obserwujemy specyficzne aspekty inwestowania popędów.</w:t>
      </w:r>
    </w:p>
    <w:p w14:paraId="033BD889" w14:textId="7D896996" w:rsidR="005F21E6" w:rsidRDefault="005F21E6" w:rsidP="00596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Chciałbym zaprezentować trójczłonowy model adolescencji, składający się z:</w:t>
      </w:r>
    </w:p>
    <w:p w14:paraId="1558A3CC" w14:textId="524016D4" w:rsidR="005F21E6" w:rsidRDefault="005F21E6" w:rsidP="005F21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pozycji chaosu dojrzewania</w:t>
      </w:r>
    </w:p>
    <w:p w14:paraId="0DD6995A" w14:textId="249D0A68" w:rsidR="005F21E6" w:rsidRDefault="005F21E6" w:rsidP="005F21E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centralnej pozycji depresyjnej</w:t>
      </w:r>
    </w:p>
    <w:p w14:paraId="1D0641A3" w14:textId="77777777" w:rsidR="00346CA9" w:rsidRDefault="005F21E6" w:rsidP="00346C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pozycji ponownego ustanowienia obiektu</w:t>
      </w:r>
    </w:p>
    <w:p w14:paraId="66E8C14D" w14:textId="0C49482F" w:rsidR="005F21E6" w:rsidRDefault="00346CA9" w:rsidP="00346C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46CA9">
        <w:rPr>
          <w:rFonts w:ascii="Times New Roman" w:hAnsi="Times New Roman" w:cs="Times New Roman"/>
          <w:sz w:val="24"/>
          <w:szCs w:val="24"/>
        </w:rPr>
        <w:t xml:space="preserve">Każda z nich jest określona przez specyficzne uczucia (afekty) i mechanizmy obronne. </w:t>
      </w:r>
      <w:r>
        <w:rPr>
          <w:rFonts w:ascii="Times New Roman" w:hAnsi="Times New Roman" w:cs="Times New Roman"/>
          <w:sz w:val="24"/>
          <w:szCs w:val="24"/>
        </w:rPr>
        <w:t>Kryzys adolescencji polega na ożywieniu różnych własnych, pierwotnych stanów umysłu w okresie gwałtowanie przebiegającej transformacji między 11 a 21 rokiem życia. Kryzys adolescencji jest metaforą kryzysu ekonomicznego, a także naturalną zapowiedzią przechodzenia od jednej pozycji do drugiej. Zmiana powoduje różne problemy w zależności od tego czy jest to przejście od pozycji dojrzewania do depresyjnej, czy od depresyjnej do ponownego ustanowienia obiektu.</w:t>
      </w:r>
    </w:p>
    <w:p w14:paraId="57DA3964" w14:textId="67A15D6B" w:rsidR="00346CA9" w:rsidRDefault="00346CA9" w:rsidP="00346C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Konsekwencje praktyczne</w:t>
      </w:r>
    </w:p>
    <w:p w14:paraId="20F1D244" w14:textId="03BB9AE0" w:rsidR="00346CA9" w:rsidRDefault="00346CA9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Leczenie analityczne polega na rozwiązywaniu konfliktów wynikających z określonych przyczyn. Adolescencja oznacza proces przemiany. Stanowi połączenie między dorosłością, okresem latencji i dzieciństwem.</w:t>
      </w:r>
      <w:r w:rsidR="00CD34F0">
        <w:rPr>
          <w:rFonts w:ascii="Times New Roman" w:hAnsi="Times New Roman" w:cs="Times New Roman"/>
          <w:sz w:val="24"/>
          <w:szCs w:val="24"/>
        </w:rPr>
        <w:t xml:space="preserve"> W leczeniu dorosłych ludzi nastoletni okres życia można określić jako drugą fazę organizacji </w:t>
      </w:r>
      <w:proofErr w:type="spellStart"/>
      <w:r w:rsidR="00CD34F0">
        <w:rPr>
          <w:rFonts w:ascii="Times New Roman" w:hAnsi="Times New Roman" w:cs="Times New Roman"/>
          <w:sz w:val="24"/>
          <w:szCs w:val="24"/>
        </w:rPr>
        <w:t>edypalnej</w:t>
      </w:r>
      <w:proofErr w:type="spellEnd"/>
      <w:r w:rsidR="00CD34F0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="00CD34F0">
        <w:rPr>
          <w:rFonts w:ascii="Times New Roman" w:hAnsi="Times New Roman" w:cs="Times New Roman"/>
          <w:sz w:val="24"/>
          <w:szCs w:val="24"/>
        </w:rPr>
        <w:t>apres-coup</w:t>
      </w:r>
      <w:proofErr w:type="spellEnd"/>
      <w:r w:rsidR="00CD34F0">
        <w:rPr>
          <w:rFonts w:ascii="Times New Roman" w:hAnsi="Times New Roman" w:cs="Times New Roman"/>
          <w:sz w:val="24"/>
          <w:szCs w:val="24"/>
        </w:rPr>
        <w:t xml:space="preserve">” [1] niemowlęcej organizacji </w:t>
      </w:r>
      <w:proofErr w:type="spellStart"/>
      <w:r w:rsidR="00CD34F0">
        <w:rPr>
          <w:rFonts w:ascii="Times New Roman" w:hAnsi="Times New Roman" w:cs="Times New Roman"/>
          <w:sz w:val="24"/>
          <w:szCs w:val="24"/>
        </w:rPr>
        <w:t>edypalnej</w:t>
      </w:r>
      <w:proofErr w:type="spellEnd"/>
      <w:r w:rsidR="00CD34F0">
        <w:rPr>
          <w:rFonts w:ascii="Times New Roman" w:hAnsi="Times New Roman" w:cs="Times New Roman"/>
          <w:sz w:val="24"/>
          <w:szCs w:val="24"/>
        </w:rPr>
        <w:t>. Leczenie dorosłych pacjentów pozwala zobaczyć okres dojrzewania jako gwałtowną reorganizację. Freud posłużył się geologiczną metaforą podkreślającą znaczenie rozwijającej się dziecięcej seksualności w pracy z neurotycznymi pacjentami.</w:t>
      </w:r>
    </w:p>
    <w:p w14:paraId="2B9F7710" w14:textId="60ACAF5A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Psychoanalitycy pracujący z adolescentami są spadkobiercami historii psychoanalizy. Praca psychoanalityków zajmujących się adolescentami ma duże znaczenie i bogatą tradycję. Lęki i obrony charakterystyczne dla adolescentów powodują, że młodzi ludzie zgłaszają się do terapii. Zdaniem wielu analityków praca analityczna musi łączyć lęki związane z relacją z obiektem z podobnymi pojawiającymi się w okresie niemowlęcym. Proponuję rozumienie adolescencji jako procesu rewolucyjnego (Vincent, 1980).</w:t>
      </w:r>
    </w:p>
    <w:p w14:paraId="55AE96DE" w14:textId="43333BAE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Freud podkreślił znaczenie historii rozwoju dziecka nie tylko w odniesieniu do okresu niemowlęcego. W 1906 napisał: „między symptomami i dziecięcymi wrażeniami znajdują się fantazje pochodzące z okresu dojrzewania”. W leczeniu adolescentów należy liczyć się z rewolucją, którą </w:t>
      </w:r>
      <w:proofErr w:type="spellStart"/>
      <w:r>
        <w:rPr>
          <w:rFonts w:ascii="Times New Roman" w:hAnsi="Times New Roman" w:cs="Times New Roman"/>
          <w:sz w:val="24"/>
          <w:szCs w:val="24"/>
        </w:rPr>
        <w:t>Eagle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Laufer opisali (1984) jako „załamanie” rozwojowe widoczne w pracy z adolescentem. Oba aspekty (</w:t>
      </w:r>
      <w:proofErr w:type="spellStart"/>
      <w:r>
        <w:rPr>
          <w:rFonts w:ascii="Times New Roman" w:hAnsi="Times New Roman" w:cs="Times New Roman"/>
          <w:sz w:val="24"/>
          <w:szCs w:val="24"/>
        </w:rPr>
        <w:t>adolescentny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niemowlęcy) wymagają przepracowania w kryzysie dojrzewania.</w:t>
      </w:r>
    </w:p>
    <w:p w14:paraId="5A852C41" w14:textId="237634AB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Interpretacja dynamiki adolescencji pomagająca podnieść poziom samooceny, co jest głównym celem pracy z pacjentem w tym wieku. Czasami wystarczy która terapia. Według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(1964) adolescentom proponuje się typowo analityczną pracę tylko w przypadkach ciężkich nerwic. W interpretacji przeniesienia powinno się zwrócić uwagę na projekcje superego w analityka. Zdaniem 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Diatkine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Simon (1966) powstrzymanie się od zbyt szerokiej interpretacji pozytywnego przeniesienia ułatwia przyjęcie interpretacji. Podobnie uczył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Lebovici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Lebovici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Kreisler, 1965), który sugerował przyjęcie przemieszczenia ideału ego na analityka, bez przedwczesnego interpretowania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edypalnej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natury pragnień seksualnych.</w:t>
      </w:r>
    </w:p>
    <w:p w14:paraId="10723BCF" w14:textId="581AA33E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Wywiad wstępny z konsultantem analitycznym pozwala na przekazanie adolescenta do terapeuty psychoanalitycznego. Takie przejście wydaje się możliwe najczęściej wtedy, kiedy można równolegle zaproponować jakiś rodzaj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rodzicom, co pozwala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pomieszczać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ich fantazje i uczucia. Kontakt z rodzicami ubezpiecza, ochrania relację adolescenta i terapeuty. Trwa to tak długo jak potrzebuje tego każda ze stron. Czasami przejście nie jest możliwe z powodu silnego wczesnego przeniesienia. W takim wypadku proponujemy zmianę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settingu</w:t>
      </w:r>
      <w:proofErr w:type="spellEnd"/>
      <w:r>
        <w:rPr>
          <w:rFonts w:ascii="Times New Roman" w:hAnsi="Times New Roman" w:cs="Times New Roman"/>
          <w:sz w:val="24"/>
          <w:szCs w:val="24"/>
        </w:rPr>
        <w:t>, pozostanie pacjenta przy konsultancie i podjęcie innego rodzaju pracy np. konsultacji lub indywidualnej dramy.</w:t>
      </w:r>
    </w:p>
    <w:p w14:paraId="2F6B7435" w14:textId="7FEA73AE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koniec chciałbym zacytować fragment epilogu Puka z V aktu „Snu nocy letniej”:</w:t>
      </w:r>
    </w:p>
    <w:p w14:paraId="1510E93B" w14:textId="6AA7C2DD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„Gdyśmy zbłądzili, my, cienie,</w:t>
      </w:r>
    </w:p>
    <w:p w14:paraId="297C62A0" w14:textId="31F10CF4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 się cała wnet ocali,</w:t>
      </w:r>
    </w:p>
    <w:p w14:paraId="70E4BA40" w14:textId="6D039EF6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 myślcie, żeście spali,</w:t>
      </w:r>
    </w:p>
    <w:p w14:paraId="088B09CA" w14:textId="024B4271" w:rsidR="00CD34F0" w:rsidRDefault="00CD34F0" w:rsidP="00346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się snuło to marzenie.”</w:t>
      </w:r>
    </w:p>
    <w:p w14:paraId="75519DC2" w14:textId="4F4125C8" w:rsidR="00CD34F0" w:rsidRDefault="00E926D5" w:rsidP="00346C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14:paraId="45D20875" w14:textId="6F70FF9A" w:rsidR="00E926D5" w:rsidRDefault="00E926D5" w:rsidP="00E926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Szekspir „Sen nocy letniej”, Dzieła dramatyczne tom II w przekładzie Stanisława Koźmiana, PIW 1963.</w:t>
      </w:r>
    </w:p>
    <w:p w14:paraId="744DD1D8" w14:textId="4E3599DF" w:rsidR="00E926D5" w:rsidRDefault="00E926D5" w:rsidP="00E926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J-B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Pontalis</w:t>
      </w:r>
      <w:proofErr w:type="spellEnd"/>
      <w:r>
        <w:rPr>
          <w:rFonts w:ascii="Times New Roman" w:hAnsi="Times New Roman" w:cs="Times New Roman"/>
          <w:sz w:val="24"/>
          <w:szCs w:val="24"/>
        </w:rPr>
        <w:t>, Słownik psychoanalizy, WSiP 1996, s.150</w:t>
      </w:r>
    </w:p>
    <w:p w14:paraId="7AD369B7" w14:textId="70D733CA" w:rsidR="00E926D5" w:rsidRDefault="00E926D5" w:rsidP="00E926D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Tłum.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Franzl</w:t>
      </w:r>
      <w:proofErr w:type="spellEnd"/>
    </w:p>
    <w:p w14:paraId="6B4778CA" w14:textId="7FA3B3EE" w:rsidR="00E926D5" w:rsidRDefault="00E926D5" w:rsidP="00E92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 Naznaczenie wsteczne – termin często używany przez S. Freuda. Przeróbce wstecznej sprzyja pojawienie się zdarzeń, sytuacji lub dojrzewanie fizyczne, które umożliwiają podmiotowi dojście do nowego typu znaczeń i opracowanie na nowo wcześniejszych doświadczeń.</w:t>
      </w:r>
    </w:p>
    <w:p w14:paraId="539685C0" w14:textId="77777777" w:rsidR="00E926D5" w:rsidRPr="00E926D5" w:rsidRDefault="00E926D5" w:rsidP="00E926D5">
      <w:pPr>
        <w:rPr>
          <w:rFonts w:ascii="Times New Roman" w:hAnsi="Times New Roman" w:cs="Times New Roman"/>
          <w:sz w:val="24"/>
          <w:szCs w:val="24"/>
        </w:rPr>
      </w:pPr>
    </w:p>
    <w:sectPr w:rsidR="00E926D5" w:rsidRPr="00E9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2E7E11"/>
    <w:rsid w:val="00346CA9"/>
    <w:rsid w:val="00566DE4"/>
    <w:rsid w:val="00596EAD"/>
    <w:rsid w:val="005F21E6"/>
    <w:rsid w:val="00B22265"/>
    <w:rsid w:val="00B67D9B"/>
    <w:rsid w:val="00CD34F0"/>
    <w:rsid w:val="00E926D5"/>
    <w:rsid w:val="00EC35BF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3</cp:revision>
  <dcterms:created xsi:type="dcterms:W3CDTF">2024-03-15T08:49:00Z</dcterms:created>
  <dcterms:modified xsi:type="dcterms:W3CDTF">2024-07-12T06:45:00Z</dcterms:modified>
</cp:coreProperties>
</file>